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190"/>
        </w:tabs>
        <w:jc w:val="center"/>
        <w:rPr>
          <w:rFonts w:ascii="Garamond" w:cs="Garamond" w:eastAsia="Garamond" w:hAnsi="Garamond"/>
        </w:rPr>
      </w:pPr>
      <w:r w:rsidDel="00000000" w:rsidR="00000000" w:rsidRPr="00000000">
        <w:rPr/>
        <w:drawing>
          <wp:inline distB="0" distT="0" distL="0" distR="0">
            <wp:extent cx="442913" cy="6185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618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190"/>
        </w:tabs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190"/>
        </w:tabs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PLANO ANALÍTICO DA UNIDADE CURRICULAR</w:t>
      </w:r>
    </w:p>
    <w:p w:rsidR="00000000" w:rsidDel="00000000" w:rsidP="00000000" w:rsidRDefault="00000000" w:rsidRPr="00000000" w14:paraId="00000004">
      <w:pPr>
        <w:tabs>
          <w:tab w:val="left" w:pos="5190"/>
        </w:tabs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Faculdade/Escola/Centro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: Faculdade de Ciências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Departamento de Matemática e Informática Ano lectivo de 2017 Semestre: II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Curso (s) : Licenciatura em Informática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Unidade Curricular: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Desenvolvimento de Aplicações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IV. TEMÁTICAS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570"/>
        <w:gridCol w:w="5880"/>
        <w:gridCol w:w="4185"/>
        <w:tblGridChange w:id="0">
          <w:tblGrid>
            <w:gridCol w:w="570"/>
            <w:gridCol w:w="5880"/>
            <w:gridCol w:w="418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Garamond" w:cs="Garamond" w:eastAsia="Garamond" w:hAnsi="Garamond"/>
                <w:b w:val="1"/>
                <w:vertAlign w:val="superscript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Temas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Sistemas de Gestão de Conteúdos: CMS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Conceito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Tipos e Exemplos de CMS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Critério de escolha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Instalação, configuração e utilização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Frameworks web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720" w:hanging="36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Conceito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ind w:left="720" w:hanging="36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Diferenciação (versus biblioteca)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Garamond" w:cs="Garamond" w:eastAsia="Garamond" w:hAnsi="Garamond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Características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720" w:hanging="36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Critérios de seleção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Frameworks Front End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ind w:left="720" w:hanging="36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Tipos, critérios de seleção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Design patterns: MVC, MVVM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Desenvolvimento por Componentes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UX e UI Design systems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Frameworks Backend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ind w:left="720" w:hanging="36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Tipos, critérios de seleção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ind w:left="72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Design patterns: MVC, Dependency injection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ind w:left="72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Base de dados e a Aplicação de ORMs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ind w:left="720" w:hanging="36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Desenvolvimento de APIs e Web services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2"/>
              </w:numPr>
              <w:ind w:left="1440" w:hanging="36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REST, SOAP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Controlo de Versão em projetos de Software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Conceito e Importância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Funcionamento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Controlo de versão Centralizado e Distribuído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Instalação, Configuração e Utilização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Práticas de desenvolvimento com controlo de versão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Feature branch development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Trunk-based development, feature-toggles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Mono-repo, multi-repo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Garamond" w:cs="Garamond" w:eastAsia="Garamond" w:hAnsi="Garamond"/>
                <w:b w:val="1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980000"/>
                <w:rtl w:val="0"/>
              </w:rPr>
              <w:t xml:space="preserve">DevOps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Conteinerização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10"/>
              </w:numPr>
              <w:ind w:left="144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Conceito e funcionamento (ex: docker)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10"/>
              </w:numPr>
              <w:ind w:left="144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Container orchestration (kubernetes, openshift etc…)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0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Integração contínua e entrega contínua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Software monitoring / Monitoria de Software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0"/>
              </w:numPr>
              <w:ind w:left="144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Ferramentas de Logging (ex. Splunk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10"/>
              </w:numPr>
              <w:ind w:left="1440" w:hanging="360"/>
              <w:rPr>
                <w:rFonts w:ascii="Garamond" w:cs="Garamond" w:eastAsia="Garamond" w:hAnsi="Garamond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Ferramentas de coleta de métricas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ab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Promover seminários e workshops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Garamond" w:cs="Garamond" w:eastAsia="Garamond" w:hAnsi="Garamond"/>
                <w:b w:val="1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980000"/>
                <w:rtl w:val="0"/>
              </w:rPr>
              <w:t xml:space="preserve">Automated Testing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3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Tipos de teste: unit, integration, system, smoke, performance, end-to-end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3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Implementação prática: unit e end-to-end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Segurança em Aplicações Web Avançado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Security by Design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Vulnerabilidades e Ameaças na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Scan de Vulnerabilidades e Code smells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Testes de Penetração / Pentesting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Frameworks de controlo de segurança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Hacking de aplicações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SQL injection, XSS, CSRF, CORs,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Deployment de Aplicações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Processo  e ferramentas de deploy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On-premise e Cloud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ind w:left="720" w:hanging="360"/>
              <w:rPr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Configurações de Servidores web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Aplicações Serverless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Ambientes: </w:t>
            </w:r>
          </w:p>
          <w:p w:rsidR="00000000" w:rsidDel="00000000" w:rsidP="00000000" w:rsidRDefault="00000000" w:rsidRPr="00000000" w14:paraId="0000005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desenvolvimento, teste, QA, alpha, produção</w:t>
            </w:r>
          </w:p>
          <w:p w:rsidR="00000000" w:rsidDel="00000000" w:rsidP="00000000" w:rsidRDefault="00000000" w:rsidRPr="00000000" w14:paraId="0000005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on-premise: deploy num data-center ou VPS</w:t>
            </w:r>
          </w:p>
          <w:p w:rsidR="00000000" w:rsidDel="00000000" w:rsidP="00000000" w:rsidRDefault="00000000" w:rsidRPr="00000000" w14:paraId="0000005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cloud: GCP, AWS, Azure, Heroku etc…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ind w:left="0" w:firstLine="0"/>
              <w:rPr>
                <w:rFonts w:ascii="Garamond" w:cs="Garamond" w:eastAsia="Garamond" w:hAnsi="Garamond"/>
                <w:b w:val="1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980000"/>
                <w:rtl w:val="0"/>
              </w:rPr>
              <w:t xml:space="preserve">Escalabilidade e Performance de Aplicações web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Estratégias, fatores e ferramentas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Arquitecturas: monolith e microservices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Caching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8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Load balancing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ind w:left="720" w:hanging="360"/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rtl w:val="0"/>
              </w:rPr>
              <w:t xml:space="preserve">Cloud Storage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Garamond" w:cs="Garamond" w:eastAsia="Garamond" w:hAnsi="Garamond"/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980000"/>
                <w:rtl w:val="0"/>
              </w:rPr>
              <w:t xml:space="preserve">Tendências do Desenvolvimento de Aplicações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720" w:hanging="36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Deep web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ind w:left="720" w:hanging="360"/>
              <w:rPr>
                <w:rFonts w:ascii="Garamond" w:cs="Garamond" w:eastAsia="Garamond" w:hAnsi="Garamond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Progressive Web App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Preparação e realização de Avaliações (Testes, Defesas, Apresentações)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VI. BIBLIOGRAFIA E RECURSOS</w:t>
      </w:r>
    </w:p>
    <w:p w:rsidR="00000000" w:rsidDel="00000000" w:rsidP="00000000" w:rsidRDefault="00000000" w:rsidRPr="00000000" w14:paraId="0000007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J. Moscovitz, M., Lewis, J. R..(2008). Foundation Website Creation with CSS, XHTML, and JavaScript.FriendSof – Design to Designer, United States of America;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S. Krug (2014). Don't Make Me Think, Revisited: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A Common Sense Approach to Web Usability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3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rd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Edition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i w:val="1"/>
        </w:rPr>
      </w:pPr>
      <w:hyperlink r:id="rId8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G. Alonso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, </w:t>
      </w:r>
      <w:hyperlink r:id="rId9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F. Casati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, </w:t>
      </w:r>
      <w:hyperlink r:id="rId10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H. Kuno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and </w:t>
      </w:r>
      <w:hyperlink r:id="rId11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V. Machiraju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(2004). Web Services: </w:t>
      </w: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Concepts, Architectures and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highlight w:val="white"/>
          <w:rtl w:val="0"/>
        </w:rPr>
        <w:t xml:space="preserve">IEEE(2009).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Why are software projects moving from centralized to decentralized version control systems?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Vancouver, BC (Disponível em </w:t>
      </w:r>
      <w:hyperlink r:id="rId12">
        <w:r w:rsidDel="00000000" w:rsidR="00000000" w:rsidRPr="00000000">
          <w:rPr>
            <w:rFonts w:ascii="Garamond" w:cs="Garamond" w:eastAsia="Garamond" w:hAnsi="Garamond"/>
            <w:color w:val="006699"/>
            <w:highlight w:val="white"/>
            <w:u w:val="single"/>
            <w:rtl w:val="0"/>
          </w:rPr>
          <w:t xml:space="preserve">10.1109/CHASE.2009.5071408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Diomidis Spinellis (2005). Version Control Systems. Athens University of Economics and Business (disponível em </w:t>
      </w:r>
      <w:hyperlink r:id="rId13">
        <w:r w:rsidDel="00000000" w:rsidR="00000000" w:rsidRPr="00000000">
          <w:rPr>
            <w:rFonts w:ascii="Garamond" w:cs="Garamond" w:eastAsia="Garamond" w:hAnsi="Garamond"/>
            <w:color w:val="0563c1"/>
            <w:u w:val="single"/>
            <w:rtl w:val="0"/>
          </w:rPr>
          <w:t xml:space="preserve">http://www.academia.edu/download/30699854/01504674-VCS.pdf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  <w:rPr>
          <w:rFonts w:ascii="Garamond" w:cs="Garamond" w:eastAsia="Garamond" w:hAnsi="Garamond"/>
        </w:rPr>
      </w:pPr>
      <w:bookmarkStart w:colFirst="0" w:colLast="0" w:name="_heading=h.30j0zll" w:id="0"/>
      <w:bookmarkEnd w:id="0"/>
      <w:r w:rsidDel="00000000" w:rsidR="00000000" w:rsidRPr="00000000">
        <w:rPr>
          <w:rFonts w:ascii="Garamond" w:cs="Garamond" w:eastAsia="Garamond" w:hAnsi="Garamond"/>
          <w:color w:val="222222"/>
          <w:highlight w:val="white"/>
          <w:rtl w:val="0"/>
        </w:rPr>
        <w:t xml:space="preserve">OWASP, T. (2013). Top 10–2013. </w:t>
      </w:r>
      <w:r w:rsidDel="00000000" w:rsidR="00000000" w:rsidRPr="00000000">
        <w:rPr>
          <w:rFonts w:ascii="Garamond" w:cs="Garamond" w:eastAsia="Garamond" w:hAnsi="Garamond"/>
          <w:i w:val="1"/>
          <w:color w:val="222222"/>
          <w:highlight w:val="white"/>
          <w:rtl w:val="0"/>
        </w:rPr>
        <w:t xml:space="preserve">The Ten Most Critical Web Application Security Risks</w:t>
      </w:r>
      <w:r w:rsidDel="00000000" w:rsidR="00000000" w:rsidRPr="00000000">
        <w:rPr>
          <w:rFonts w:ascii="Garamond" w:cs="Garamond" w:eastAsia="Garamond" w:hAnsi="Garamond"/>
          <w:color w:val="222222"/>
          <w:highlight w:val="white"/>
          <w:rtl w:val="0"/>
        </w:rPr>
        <w:t xml:space="preserve">. Papapanagiotou, K. (2013, November). OWASP Hackademic: a practical environment for teaching application security. In </w:t>
      </w:r>
      <w:r w:rsidDel="00000000" w:rsidR="00000000" w:rsidRPr="00000000">
        <w:rPr>
          <w:rFonts w:ascii="Garamond" w:cs="Garamond" w:eastAsia="Garamond" w:hAnsi="Garamond"/>
          <w:i w:val="1"/>
          <w:color w:val="222222"/>
          <w:highlight w:val="white"/>
          <w:rtl w:val="0"/>
        </w:rPr>
        <w:t xml:space="preserve">AppSec USA 2013</w:t>
      </w:r>
      <w:r w:rsidDel="00000000" w:rsidR="00000000" w:rsidRPr="00000000">
        <w:rPr>
          <w:rFonts w:ascii="Garamond" w:cs="Garamond" w:eastAsia="Garamond" w:hAnsi="Garamond"/>
          <w:color w:val="222222"/>
          <w:highlight w:val="white"/>
          <w:rtl w:val="0"/>
        </w:rPr>
        <w:t xml:space="preserve">. Owasp.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00" w:before="100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676C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ink.springer.com/search?facet-creator=%22Vijay+Machiraju%22" TargetMode="External"/><Relationship Id="rId10" Type="http://schemas.openxmlformats.org/officeDocument/2006/relationships/hyperlink" Target="http://link.springer.com/search?facet-creator=%22Harumi+Kuno%22" TargetMode="External"/><Relationship Id="rId13" Type="http://schemas.openxmlformats.org/officeDocument/2006/relationships/hyperlink" Target="http://www.academia.edu/download/30699854/01504674-VCS.pdf" TargetMode="External"/><Relationship Id="rId12" Type="http://schemas.openxmlformats.org/officeDocument/2006/relationships/hyperlink" Target="http://dx.doi.org/10.1109/CHASE.2009.507140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nk.springer.com/search?facet-creator=%22Fabio+Casati%2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link.springer.com/search?facet-creator=%22Gustavo+Alonso%2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QyZ3/iVWbeJoG2M2ZyCc4QiUg==">AMUW2mWjyTgIr29Uq7rToXL6UgFhza5div+uJbkIANu3eWPgUbr1pnVWi2Kmm/dR9QXYcG8ozzREke5fwZ0WY8tOHhTFLGSSmr7zYHCKGSKcnoB7o0ZzVfkWPSdXzSRxkqgSLvVHrCOk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2017-08-07T11:28:00Z</dcterms:created>
  <dc:creator>Amarildo Come</dc:creator>
</cp:coreProperties>
</file>